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Осенний семестр 2025-2026 учебного года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7М04205 – «Государственная служба и административная деятельность»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92840 Государственная служба и муниципальная служба: тенденции развития </w:t>
      </w:r>
    </w:p>
    <w:p w:rsidR="00000000" w:rsidDel="00000000" w:rsidP="00000000" w:rsidRDefault="00000000" w:rsidRPr="00000000" w14:paraId="00000005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  <w:tblGridChange w:id="0">
          <w:tblGrid>
            <w:gridCol w:w="1699"/>
            <w:gridCol w:w="1275"/>
            <w:gridCol w:w="994"/>
            <w:gridCol w:w="992"/>
            <w:gridCol w:w="1134"/>
            <w:gridCol w:w="710"/>
            <w:gridCol w:w="1417"/>
            <w:gridCol w:w="2269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 и наименование дисциплины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обучающегося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(СРМ)</w:t>
            </w:r>
          </w:p>
          <w:p w:rsidR="00000000" w:rsidDel="00000000" w:rsidP="00000000" w:rsidRDefault="00000000" w:rsidRPr="00000000" w14:paraId="00000009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Общее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обучающегося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 руководством преподавателя (СРМП)</w:t>
            </w: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Лекции (Л)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Практ. занятия (ПЗ)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Лаб. занятия (ЛЗ)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92840 Государственная служба и муниципальная служба: тенденции развития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ИНФОРМАЦИЯ О ДИСЦИПЛИНЕ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Формат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Цикл, 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лекций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практических занятий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и платформа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итогового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Офлайн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ПД. Вузовский 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Теоретическая, аналитическая, прикладная лекция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Дискуссия, тест-опрос, дебаты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Устный экзамен офлайн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Лектор - (ы)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6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Ассистент- (ы)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ПРЕЗЕНТАЦИЯ ДИСЦИПЛИНЫ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Цель дисциплины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Ожидаемые результаты обучения (РО)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Индикаторы достижения РО (ИД)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Цель – формирование способности интегрировать знания и формулировать новаторские суждения о сущности, основных тенденциях развития и взаимосвязи государственной и муниципальной службы. Курс изучения об общих чертах, особенностях порядка формирования корпуса государственных и муниципальных служащих, их видах, специфике статуса, направлениях деятельности, взаимодействии и взаимозаменяемости.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166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Демонстрировать понимание содержания законодательства о государственной службе и новейших научных разработок о формировании кадрового потенциала РК для подготовки корпуса высококвалифицированных государственных служащих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Аргументирует специфику конституционно-правового закрепления порядка формирования кадрового потенциала в РК на разных этапах становления и развития законодательства о государственной службе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1.2 Определяет место и роль принципов компетентности, профессионализма и меритократии для эффективного функционирования высококвалифицированных государственных служащих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8E">
            <w:pPr>
              <w:tabs>
                <w:tab w:val="left" w:leader="none" w:pos="6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Дифференцировать методы анализа специфики, особенностей,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2.1 Применяет методики анализа условий поступления на государственную службу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2.2 Интерпретирует квалификационные требования к кандидатам на государственную службу.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2.3 Анализирует специфику законодательного закрепления поступления на политическую государственную службу и на административную государственную службу корпуса «А» и «Б».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Анализировать и выявлять специфику и основные тенденции развития муниципальной службы на основе критической оценки системы управления кадрами в РК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3.1 Классифицирует методики оценки развития системы муниципальной службы в РК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3.2 Сопоставляет специфику порядка подготовки и продвижения кадров на муниципальной службе в РК 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3.3 Выявляет сходство и различия видов муниципальных служащих в РК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Составлять рекомендации по укреплению статуса государственной должности как структурной единицы государственного органа для совершенствования порядка подготовки и продвижения, повышения квалификации и ответственности добропорядочного кадрового потенциала страны.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</w:t>
              <w:tab/>
              <w:t xml:space="preserve">Разрабатывает меры по </w:t>
            </w:r>
            <w:r w:rsidDel="00000000" w:rsidR="00000000" w:rsidRPr="00000000">
              <w:rPr>
                <w:color w:val="000000"/>
                <w:rtl w:val="0"/>
              </w:rPr>
              <w:t xml:space="preserve">совершенствованию методики оценки деятельности государственных служащих и  укрепления их служебной дисциплины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4.2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Объясняет причины затруднений в формировании имиджа добропорядочного государственного служащего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4.3 Составляет планы по совершенствованию антикоррупционного поведения государственных служащих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Давать оценку практики укрепления компетентности государственных служащих, противодействия коррупции в зарубежных странах на основе анализа законодательства для формулировки конкретных предложений по использованию зарубежного опыта в РК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Обосновывает необходимость анализа опыта повышения компетентности кадрового потенциала в развитых странах Европы и Азии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Оценивает опыт зарубежных стран в сфере методик повышения квалификации, стимулирования государственных служащих и противодействия коррупции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Дает оценку возможности применения положительного опыта зарубежных стран в повышении профессионализма кадрового потенциала РК в виде комплекса предложений по совершенствованию законодательства о государственной службе и практики его действия.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6.1</w:t>
            </w:r>
            <w:r w:rsidDel="00000000" w:rsidR="00000000" w:rsidRPr="00000000">
              <w:rPr>
                <w:color w:val="000000"/>
                <w:rtl w:val="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  <w:r w:rsidDel="00000000" w:rsidR="00000000" w:rsidRPr="00000000">
              <w:rPr>
                <w:color w:val="000000"/>
                <w:rtl w:val="0"/>
              </w:rPr>
              <w:t xml:space="preserve">  Обосновывает постановку конкретных проблем в деятельности государственных служащих в РК.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6.3</w:t>
            </w:r>
            <w:r w:rsidDel="00000000" w:rsidR="00000000" w:rsidRPr="00000000">
              <w:rPr>
                <w:color w:val="000000"/>
                <w:rtl w:val="0"/>
              </w:rPr>
              <w:t xml:space="preserve">  Составляет и подготавливает научные исследования по указанной тематике.</w:t>
            </w:r>
          </w:p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Пререквизиты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Постреквизиты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Правовое регулирование кибербезопасности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Государственная служба и муниципальная служба: тенденции развития.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Правосознание и правовая культура государственных служащих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Учебные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before="9" w:line="233" w:lineRule="auto"/>
              <w:ind w:left="127" w:right="-2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Нормативные акты: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Конституция Республики Казахстан 1995 г. </w:t>
            </w:r>
            <w:hyperlink r:id="rId8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https://online.zakon.kz/Document/?doc_id=1005029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Закон Республики Казахстан “О государственной службе” от 23.11.2015г.</w:t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firstLine="0"/>
              <w:jc w:val="both"/>
              <w:rPr>
                <w:color w:val="000000"/>
              </w:rPr>
            </w:pPr>
            <w:hyperlink r:id="rId9">
              <w:r w:rsidDel="00000000" w:rsidR="00000000" w:rsidRPr="00000000">
                <w:rPr>
                  <w:color w:val="000000"/>
                  <w:rtl w:val="0"/>
                </w:rPr>
                <w:t xml:space="preserve">https://adilet.zan.kz/rus/docs/Z1500000416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107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spacing w:before="4" w:lineRule="auto"/>
              <w:ind w:left="827" w:right="216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Турисбек А. Государственная служба в Республике Казахстан. –Астана: Академия государственной службы при Президенте Республики Казахстан, 2021г.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Антикоррупционная политика, под. ред. Сатарова. Учебник для ВУЗов, 2-е изд. пер. и доп., 2020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Дёмин А.А. Государственная и муниципальная служба. Учебник. 2-е изд. пер. и доп., 2020;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Борщевский Г.А. Государственная служба. Учебник и практикум для ВУЗов. 3-е изд. доп. и  испр., 2020.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Исследовательская инфраструктура: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Базы практик: Маслихаты и акиматы г. Алматы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Профессиональные научные базы данных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Академия Google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Кибер Ленинка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Springer Nature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Scopus корпорация Elsevier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Научная электронная библиотека eLIBRARY.RU</w:t>
            </w:r>
          </w:p>
          <w:p w:rsidR="00000000" w:rsidDel="00000000" w:rsidP="00000000" w:rsidRDefault="00000000" w:rsidRPr="00000000" w14:paraId="0000012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Интернет-ресурсы: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Массовый образовательный онлайн курс «Конституционное право РК» http:// open.kaznu.kz/courses/KazNU/LAW300/2016_C1/about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Правовая база Аdilet.gov.kz  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6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Научная электронная база библиотека </w:t>
            </w:r>
            <w:hyperlink r:id="rId10">
              <w:r w:rsidDel="00000000" w:rsidR="00000000" w:rsidRPr="00000000">
                <w:rPr>
                  <w:rtl w:val="0"/>
                </w:rPr>
                <w:t xml:space="preserve">www.eLIBRARY.RU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  <w:tblGridChange w:id="0">
          <w:tblGrid>
            <w:gridCol w:w="851"/>
            <w:gridCol w:w="851"/>
            <w:gridCol w:w="283"/>
            <w:gridCol w:w="1134"/>
            <w:gridCol w:w="1843"/>
            <w:gridCol w:w="3260"/>
            <w:gridCol w:w="2268"/>
          </w:tblGrid>
        </w:tblGridChange>
      </w:tblGrid>
      <w:tr>
        <w:trPr>
          <w:cantSplit w:val="0"/>
          <w:trHeight w:val="55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политика дисциплины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Академическая политика дисциплины определяется </w:t>
            </w:r>
            <w:hyperlink r:id="rId11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Академической политикой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и </w:t>
            </w:r>
            <w:hyperlink r:id="rId12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Политикой академической честности КазНУ имени аль-Фараби.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науки и образования. </w:t>
            </w:r>
            <w:r w:rsidDel="00000000" w:rsidR="00000000" w:rsidRPr="00000000">
              <w:rPr>
                <w:rtl w:val="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силлабусе и отвечают за актуальность тематик учебных занятий 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Посещаемость.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«Правила проведения итогового контроля»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, </w:t>
            </w:r>
            <w:hyperlink r:id="rId14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u w:val="single"/>
                <w:rtl w:val="0"/>
              </w:rPr>
              <w:t xml:space="preserve">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магистрантов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5">
              <w:r w:rsidDel="00000000" w:rsidR="00000000" w:rsidRPr="00000000">
                <w:rPr>
                  <w:color w:val="000000"/>
                  <w:rtl w:val="0"/>
                </w:rPr>
                <w:t xml:space="preserve">dina_405@mail.ru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Ссылка на собрание в MS Teams </w:t>
            </w:r>
            <w:hyperlink r:id="rId16">
              <w:r w:rsidDel="00000000" w:rsidR="00000000" w:rsidRPr="00000000">
                <w:rPr>
                  <w:rtl w:val="0"/>
                </w:rPr>
                <w:t xml:space="preserve">https://teams.live.com/meet/9468524978539?p=lx5cnYWAXOQuKwRp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МООC (massive open online course). </w:t>
            </w:r>
            <w:r w:rsidDel="00000000" w:rsidR="00000000" w:rsidRPr="00000000">
              <w:rPr>
                <w:rtl w:val="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ИНФОРМАЦИЯ О ПРЕПОДАВАНИИ, ОБУЧЕНИИ И ОЦЕНИВАНИИ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Балльно-рейтинговая </w:t>
            </w:r>
          </w:p>
          <w:p w:rsidR="00000000" w:rsidDel="00000000" w:rsidP="00000000" w:rsidRDefault="00000000" w:rsidRPr="00000000" w14:paraId="0000015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буквенная система оценки учета учебных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Методы оценивания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15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эквивалент</w:t>
            </w:r>
          </w:p>
          <w:p w:rsidR="00000000" w:rsidDel="00000000" w:rsidP="00000000" w:rsidRDefault="00000000" w:rsidRPr="00000000" w14:paraId="000001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Баллы, </w:t>
            </w:r>
          </w:p>
          <w:p w:rsidR="00000000" w:rsidDel="00000000" w:rsidP="00000000" w:rsidRDefault="00000000" w:rsidRPr="00000000" w14:paraId="000001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 содержание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Критериальное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оценивание 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000000" w:rsidDel="00000000" w:rsidP="00000000" w:rsidRDefault="00000000" w:rsidRPr="00000000" w14:paraId="00000167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Проводится 5 раз за семестр при выполнении СРМ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000000" w:rsidDel="00000000" w:rsidP="00000000" w:rsidRDefault="00000000" w:rsidRPr="00000000" w14:paraId="0000016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95-100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и суммативное оценивание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 % содержание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Работа на практических занятиях                    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Самостоятельная работа                                     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25-49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Неудовлетворительно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Календарь (график) реализации содержания дисциплины. Методы преподавания и обучения.</w:t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9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"/>
        <w:gridCol w:w="8050"/>
        <w:gridCol w:w="861"/>
        <w:gridCol w:w="727"/>
        <w:tblGridChange w:id="0">
          <w:tblGrid>
            <w:gridCol w:w="871"/>
            <w:gridCol w:w="8050"/>
            <w:gridCol w:w="861"/>
            <w:gridCol w:w="7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Неделя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Название темы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часов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tabs>
                <w:tab w:val="left" w:leader="none" w:pos="1276"/>
              </w:tabs>
              <w:ind w:left="-68" w:firstLine="26.00000000000000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Макс.</w:t>
            </w:r>
          </w:p>
          <w:p w:rsidR="00000000" w:rsidDel="00000000" w:rsidP="00000000" w:rsidRDefault="00000000" w:rsidRPr="00000000" w14:paraId="000001C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Балл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CD">
            <w:pPr>
              <w:tabs>
                <w:tab w:val="left" w:leader="none" w:pos="1276"/>
              </w:tabs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1. Основные задачи формирования кадрового потенциала в РК в современный период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 </w:t>
            </w:r>
            <w:r w:rsidDel="00000000" w:rsidR="00000000" w:rsidRPr="00000000">
              <w:rPr>
                <w:rtl w:val="0"/>
              </w:rPr>
              <w:t xml:space="preserve">Порядок формирования кадрового потенциала РК: понятие, специфика, основные задачи и направления в современный период.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С1. </w:t>
            </w:r>
            <w:r w:rsidDel="00000000" w:rsidR="00000000" w:rsidRPr="00000000">
              <w:rPr>
                <w:rtl w:val="0"/>
              </w:rPr>
              <w:t xml:space="preserve">Определить особенности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понятия и специфики кадровой политики в современном Казахстане.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2.   </w:t>
            </w:r>
            <w:r w:rsidDel="00000000" w:rsidR="00000000" w:rsidRPr="00000000">
              <w:rPr>
                <w:rtl w:val="0"/>
              </w:rPr>
              <w:t xml:space="preserve">Понятие государственной и муниципальной службы и виды государственных служащих.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2.</w:t>
            </w:r>
            <w:r w:rsidDel="00000000" w:rsidR="00000000" w:rsidRPr="00000000">
              <w:rPr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Классифицировать виды государственных </w:t>
            </w:r>
            <w:r w:rsidDel="00000000" w:rsidR="00000000" w:rsidRPr="00000000">
              <w:rPr>
                <w:rtl w:val="0"/>
              </w:rPr>
              <w:t xml:space="preserve">и муниципальных </w:t>
            </w:r>
            <w:r w:rsidDel="00000000" w:rsidR="00000000" w:rsidRPr="00000000">
              <w:rPr>
                <w:color w:val="000000"/>
                <w:rtl w:val="0"/>
              </w:rPr>
              <w:t xml:space="preserve">служащих в 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E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Принципы профессионализма и меритократии – основа формирования кадрового потенциала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tabs>
                <w:tab w:val="left" w:leader="none" w:pos="1276"/>
              </w:tabs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Обосновать разные подходы к выделению основ кадровой политики в РК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1 – Консультация по выполнению СРМ 1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2. Реформы государственной службы в свете кадровой политики в РК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F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Конституционно-правовое законодательство о государственной и муниципальной службе в РК: история становления, современное состояние, проблемы и тенденции развития.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Определить дальнейшее направление развития конституционно-правового законодательства о государственной </w:t>
            </w:r>
            <w:r w:rsidDel="00000000" w:rsidR="00000000" w:rsidRPr="00000000">
              <w:rPr>
                <w:rtl w:val="0"/>
              </w:rPr>
              <w:t xml:space="preserve">и муниципальной</w:t>
            </w:r>
            <w:r w:rsidDel="00000000" w:rsidR="00000000" w:rsidRPr="00000000">
              <w:rPr>
                <w:color w:val="000000"/>
                <w:rtl w:val="0"/>
              </w:rPr>
              <w:t xml:space="preserve"> службе в РК.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СРМ 1 – аналитический (контрольный опрос).</w:t>
            </w:r>
            <w:r w:rsidDel="00000000" w:rsidR="00000000" w:rsidRPr="00000000">
              <w:rPr>
                <w:rtl w:val="0"/>
              </w:rPr>
              <w:t xml:space="preserve">  Понятие и виды государственных служащих в РК: законодательное закрепление</w:t>
            </w:r>
          </w:p>
          <w:p w:rsidR="00000000" w:rsidDel="00000000" w:rsidP="00000000" w:rsidRDefault="00000000" w:rsidRPr="00000000" w14:paraId="000001FB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F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F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Реформы государственной и муниципальной службы на современном этапе развития государства и основные приоритеты кадровой политики РК..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Проанализировать специфику основных приоритетов кадровой политики в 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2 – Консультация по выполнению СРМ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0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6.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совершенствования системы найма государственных и муниципальных служащих, значение обязательного конкурсного отбора при приеме на государственную службу..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6. </w:t>
            </w:r>
            <w:r w:rsidDel="00000000" w:rsidR="00000000" w:rsidRPr="00000000">
              <w:rPr>
                <w:color w:val="000000"/>
                <w:rtl w:val="0"/>
              </w:rPr>
              <w:t xml:space="preserve">Продемонстрировать особенности конкурсного отбора при приеме на государственную и муниципальную службу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СРМ 2 – аналитический (контрольный опрос).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История становления и развития института государственной службы в Казахстане.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Проблемы развития системы управления кадрами 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1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7.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развития системы управления кадрами в Республике Казахстан..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7.</w:t>
            </w:r>
            <w:r w:rsidDel="00000000" w:rsidR="00000000" w:rsidRPr="00000000">
              <w:rPr>
                <w:color w:val="000000"/>
                <w:rtl w:val="0"/>
              </w:rPr>
              <w:t xml:space="preserve"> Интерпретировать специфику системы управления кадрами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СРМП 3 – </w:t>
            </w:r>
            <w:r w:rsidDel="00000000" w:rsidR="00000000" w:rsidRPr="00000000">
              <w:rPr>
                <w:b w:val="1"/>
                <w:rtl w:val="0"/>
              </w:rPr>
              <w:t xml:space="preserve">Консультация по выполнению СРМ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2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8.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развития системы подготовки и продвижения кадров на государственной службе в Республике Казахстан, их карьерный рост 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8.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Сформулировать роль и специфику подготовки и продвижения кадров на государственной </w:t>
            </w:r>
            <w:r w:rsidDel="00000000" w:rsidR="00000000" w:rsidRPr="00000000">
              <w:rPr>
                <w:rtl w:val="0"/>
              </w:rPr>
              <w:t xml:space="preserve">и муниципальной </w:t>
            </w:r>
            <w:r w:rsidDel="00000000" w:rsidR="00000000" w:rsidRPr="00000000">
              <w:rPr>
                <w:color w:val="000000"/>
                <w:rtl w:val="0"/>
              </w:rPr>
              <w:t xml:space="preserve">службе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 3 – Коллоквиум (эссе). </w:t>
            </w:r>
            <w:r w:rsidDel="00000000" w:rsidR="00000000" w:rsidRPr="00000000">
              <w:rPr>
                <w:rtl w:val="0"/>
              </w:rPr>
              <w:t xml:space="preserve">Правовое положение государственных служащих: проблемы и специфика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34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100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3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9.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Повышение квалификации и проблемы эффективного использования кадрового потенциала 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9.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прикладной. </w:t>
            </w:r>
            <w:r w:rsidDel="00000000" w:rsidR="00000000" w:rsidRPr="00000000">
              <w:rPr>
                <w:color w:val="000000"/>
                <w:rtl w:val="0"/>
              </w:rPr>
              <w:t xml:space="preserve">Дать оценку порядка повышения квалификации и основных проблем повышения эффективности деятельности государственных </w:t>
            </w:r>
            <w:r w:rsidDel="00000000" w:rsidR="00000000" w:rsidRPr="00000000">
              <w:rPr>
                <w:rtl w:val="0"/>
              </w:rPr>
              <w:t xml:space="preserve">и муниципальных</w:t>
            </w:r>
            <w:r w:rsidDel="00000000" w:rsidR="00000000" w:rsidRPr="00000000">
              <w:rPr>
                <w:color w:val="000000"/>
                <w:rtl w:val="0"/>
              </w:rPr>
              <w:t xml:space="preserve"> служащих 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4 – Консультация по выполнению СРМ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4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Л 10.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Формирование добропорядочности как основной характеристики государственного и муниципального служащего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10.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Продемонстрировать содержание принципа добропорядочности в деятельности государственных </w:t>
            </w:r>
            <w:r w:rsidDel="00000000" w:rsidR="00000000" w:rsidRPr="00000000">
              <w:rPr>
                <w:rtl w:val="0"/>
              </w:rPr>
              <w:t xml:space="preserve">и муниципальных</w:t>
            </w:r>
            <w:r w:rsidDel="00000000" w:rsidR="00000000" w:rsidRPr="00000000">
              <w:rPr>
                <w:color w:val="000000"/>
                <w:rtl w:val="0"/>
              </w:rPr>
              <w:t xml:space="preserve">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jc w:val="both"/>
              <w:rPr>
                <w:color w:val="ff0000"/>
              </w:rPr>
            </w:pPr>
            <w:bookmarkStart w:colFirst="0" w:colLast="0" w:name="_jwu38alfvf2p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СРМ 4 – аналитический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(реферат)</w:t>
            </w:r>
            <w:r w:rsidDel="00000000" w:rsidR="00000000" w:rsidRPr="00000000">
              <w:rPr>
                <w:b w:val="1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Социальные гарантии государственных служащих и членов их семей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11.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Проти</w:t>
            </w:r>
            <w:r w:rsidDel="00000000" w:rsidR="00000000" w:rsidRPr="00000000">
              <w:rPr>
                <w:color w:val="000000"/>
                <w:rtl w:val="0"/>
              </w:rPr>
              <w:t xml:space="preserve">водействие коррупции – основа эффективного достижения задач кадровой политики в 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11.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Аргументировать особенности противодействия коррупции в деятельности государственных </w:t>
            </w:r>
            <w:r w:rsidDel="00000000" w:rsidR="00000000" w:rsidRPr="00000000">
              <w:rPr>
                <w:rtl w:val="0"/>
              </w:rPr>
              <w:t xml:space="preserve">и муниципальных</w:t>
            </w:r>
            <w:r w:rsidDel="00000000" w:rsidR="00000000" w:rsidRPr="00000000">
              <w:rPr>
                <w:color w:val="000000"/>
                <w:rtl w:val="0"/>
              </w:rPr>
              <w:t xml:space="preserve">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5 – Консультация по выполнению СРМ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Л12.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повышения ответственности государственных и муниципальных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12.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Проанализировать специфику ответственности государственных </w:t>
            </w:r>
            <w:r w:rsidDel="00000000" w:rsidR="00000000" w:rsidRPr="00000000">
              <w:rPr>
                <w:rtl w:val="0"/>
              </w:rPr>
              <w:t xml:space="preserve">и муниципальных </w:t>
            </w:r>
            <w:r w:rsidDel="00000000" w:rsidR="00000000" w:rsidRPr="00000000">
              <w:rPr>
                <w:color w:val="000000"/>
                <w:rtl w:val="0"/>
              </w:rPr>
              <w:t xml:space="preserve">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 5 – Коллоквиум (Проект).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формирования положительного имиджа и этика поведения государственных служащих в РК.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6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Периодическая аттестация государственных и муниципальных служащих и проблемы формирования кадрового резерва для занятия должностей государственных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Иллюстрировать особенности формирования кадрового резерва для занятия должностей государственных </w:t>
            </w:r>
            <w:r w:rsidDel="00000000" w:rsidR="00000000" w:rsidRPr="00000000">
              <w:rPr>
                <w:rtl w:val="0"/>
              </w:rPr>
              <w:t xml:space="preserve">и муниципальных</w:t>
            </w:r>
            <w:r w:rsidDel="00000000" w:rsidR="00000000" w:rsidRPr="00000000">
              <w:rPr>
                <w:color w:val="000000"/>
                <w:rtl w:val="0"/>
              </w:rPr>
              <w:t xml:space="preserve"> служащих 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7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Модели государственной службы в мировой практике и специфика кадровой политики в ведущих зарубежных странах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Дать оценку разновидностям моделей государственной </w:t>
            </w:r>
            <w:r w:rsidDel="00000000" w:rsidR="00000000" w:rsidRPr="00000000">
              <w:rPr>
                <w:rtl w:val="0"/>
              </w:rPr>
              <w:t xml:space="preserve">и муниципальной</w:t>
            </w:r>
            <w:r w:rsidDel="00000000" w:rsidR="00000000" w:rsidRPr="00000000">
              <w:rPr>
                <w:color w:val="000000"/>
                <w:rtl w:val="0"/>
              </w:rPr>
              <w:t xml:space="preserve"> службы в ведущих зарубежных странах.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7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Специфика внедрения принципа меритократии и борьбы с коррупцией в системе государственной и </w:t>
            </w:r>
            <w:r w:rsidDel="00000000" w:rsidR="00000000" w:rsidRPr="00000000">
              <w:rPr>
                <w:color w:val="000000"/>
                <w:rtl w:val="0"/>
              </w:rPr>
              <w:t xml:space="preserve">муниципальной</w:t>
            </w:r>
            <w:r w:rsidDel="00000000" w:rsidR="00000000" w:rsidRPr="00000000">
              <w:rPr>
                <w:rtl w:val="0"/>
              </w:rPr>
              <w:t xml:space="preserve"> службы в странах ближнего зарубежья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tabs>
                <w:tab w:val="left" w:leader="none" w:pos="1276"/>
              </w:tabs>
              <w:rPr>
                <w:b w:val="1"/>
              </w:rPr>
            </w:pPr>
            <w:bookmarkStart w:colFirst="0" w:colLast="0" w:name="_5w6lzlb7ztyb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СЗ 15.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Оценить современное состояние борьбы с коррупцией </w:t>
            </w:r>
            <w:r w:rsidDel="00000000" w:rsidR="00000000" w:rsidRPr="00000000">
              <w:rPr>
                <w:rtl w:val="0"/>
              </w:rPr>
              <w:t xml:space="preserve">в системе государственной и муниципальной службы в странах ближнего зарубежья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tabs>
                <w:tab w:val="left" w:leader="none" w:pos="2429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СРМП 6 Консультация по подготовке к итоговому контролю</w:t>
            </w:r>
            <w:r w:rsidDel="00000000" w:rsidR="00000000" w:rsidRPr="00000000">
              <w:rPr>
                <w:b w:val="1"/>
                <w:rtl w:val="0"/>
              </w:rPr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84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2</w:t>
            </w:r>
          </w:p>
        </w:tc>
        <w:tc>
          <w:tcPr/>
          <w:p w:rsidR="00000000" w:rsidDel="00000000" w:rsidP="00000000" w:rsidRDefault="00000000" w:rsidRPr="00000000" w14:paraId="0000028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88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Итоговый контроль (экзамен)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8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за дисциплину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9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92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Декан факультета</w:t>
        <w:tab/>
        <w:tab/>
        <w:tab/>
        <w:tab/>
        <w:tab/>
        <w:tab/>
        <w:tab/>
        <w:tab/>
        <w:t xml:space="preserve">Ахатов У.А.</w:t>
      </w:r>
    </w:p>
    <w:p w:rsidR="00000000" w:rsidDel="00000000" w:rsidP="00000000" w:rsidRDefault="00000000" w:rsidRPr="00000000" w14:paraId="00000293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Председатель Академического комитета                                                                           Урисбаева А.А.</w:t>
      </w:r>
    </w:p>
    <w:p w:rsidR="00000000" w:rsidDel="00000000" w:rsidP="00000000" w:rsidRDefault="00000000" w:rsidRPr="00000000" w14:paraId="00000295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Заведующий кафедрой</w:t>
        <w:tab/>
        <w:t xml:space="preserve">    </w:t>
        <w:tab/>
        <w:tab/>
        <w:tab/>
        <w:tab/>
        <w:t xml:space="preserve">                                           Усеинова К.Р. </w:t>
      </w:r>
    </w:p>
    <w:p w:rsidR="00000000" w:rsidDel="00000000" w:rsidP="00000000" w:rsidRDefault="00000000" w:rsidRPr="00000000" w14:paraId="00000297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Лектор</w:t>
        <w:tab/>
        <w:tab/>
        <w:tab/>
        <w:tab/>
        <w:tab/>
        <w:tab/>
        <w:tab/>
        <w:tab/>
        <w:t xml:space="preserve">                             Баймаханова Д.М.</w:t>
      </w:r>
    </w:p>
    <w:p w:rsidR="00000000" w:rsidDel="00000000" w:rsidP="00000000" w:rsidRDefault="00000000" w:rsidRPr="00000000" w14:paraId="00000299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tabs>
          <w:tab w:val="left" w:leader="none" w:pos="1276"/>
        </w:tabs>
        <w:rPr>
          <w:b w:val="1"/>
          <w:sz w:val="20"/>
          <w:szCs w:val="20"/>
        </w:rPr>
        <w:sectPr>
          <w:pgSz w:h="16838" w:w="11906" w:orient="portrait"/>
          <w:pgMar w:bottom="1418" w:top="568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9E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9F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2A0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1 «Понятие и виды государственных служащих в РК: законодательное закрепление» (20% от 100% РК)  </w:t>
      </w:r>
    </w:p>
    <w:p w:rsidR="00000000" w:rsidDel="00000000" w:rsidP="00000000" w:rsidRDefault="00000000" w:rsidRPr="00000000" w14:paraId="000002A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2C7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D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D6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2D7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tabs>
          <w:tab w:val="left" w:leader="none" w:pos="1276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2 «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История становления и развития института государственной службы в Казахстане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(20% от 100% РК)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2F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0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0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03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3 «</w:t>
      </w:r>
      <w:r w:rsidDel="00000000" w:rsidR="00000000" w:rsidRPr="00000000">
        <w:rPr>
          <w:b w:val="1"/>
          <w:sz w:val="22"/>
          <w:szCs w:val="22"/>
          <w:rtl w:val="0"/>
        </w:rPr>
        <w:t xml:space="preserve">Правовое положение государственных служащих: проблемы и специфика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(20% от 100% РК)  </w:t>
      </w:r>
    </w:p>
    <w:p w:rsidR="00000000" w:rsidDel="00000000" w:rsidP="00000000" w:rsidRDefault="00000000" w:rsidRPr="00000000" w14:paraId="0000030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2A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36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37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38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4 «</w:t>
      </w:r>
      <w:r w:rsidDel="00000000" w:rsidR="00000000" w:rsidRPr="00000000">
        <w:rPr>
          <w:b w:val="1"/>
          <w:sz w:val="22"/>
          <w:szCs w:val="22"/>
          <w:rtl w:val="0"/>
        </w:rPr>
        <w:t xml:space="preserve">Социальные гарантии государственных служащих и членов их семей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(30% от 100% РК)  </w:t>
      </w:r>
    </w:p>
    <w:p w:rsidR="00000000" w:rsidDel="00000000" w:rsidP="00000000" w:rsidRDefault="00000000" w:rsidRPr="00000000" w14:paraId="0000033A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25-30 %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15-24 %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10-14 %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0-9%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5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6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6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63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5 «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Проблемы формирования положительного имиджа и этика поведения государственных служащих в РК.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(30% от 100% РК)  </w:t>
      </w:r>
    </w:p>
    <w:p w:rsidR="00000000" w:rsidDel="00000000" w:rsidP="00000000" w:rsidRDefault="00000000" w:rsidRPr="00000000" w14:paraId="0000036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25-30 %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15-24 %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10-14 %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0-9%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8A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56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559" w:hanging="360"/>
      </w:pPr>
      <w:rPr/>
    </w:lvl>
    <w:lvl w:ilvl="2">
      <w:start w:val="0"/>
      <w:numFmt w:val="bullet"/>
      <w:lvlText w:val="•"/>
      <w:lvlJc w:val="left"/>
      <w:pPr>
        <w:ind w:left="2298" w:hanging="360"/>
      </w:pPr>
      <w:rPr/>
    </w:lvl>
    <w:lvl w:ilvl="3">
      <w:start w:val="0"/>
      <w:numFmt w:val="bullet"/>
      <w:lvlText w:val="•"/>
      <w:lvlJc w:val="left"/>
      <w:pPr>
        <w:ind w:left="3037" w:hanging="360"/>
      </w:pPr>
      <w:rPr/>
    </w:lvl>
    <w:lvl w:ilvl="4">
      <w:start w:val="0"/>
      <w:numFmt w:val="bullet"/>
      <w:lvlText w:val="•"/>
      <w:lvlJc w:val="left"/>
      <w:pPr>
        <w:ind w:left="3776" w:hanging="360"/>
      </w:pPr>
      <w:rPr/>
    </w:lvl>
    <w:lvl w:ilvl="5">
      <w:start w:val="0"/>
      <w:numFmt w:val="bullet"/>
      <w:lvlText w:val="•"/>
      <w:lvlJc w:val="left"/>
      <w:pPr>
        <w:ind w:left="4516" w:hanging="360"/>
      </w:pPr>
      <w:rPr/>
    </w:lvl>
    <w:lvl w:ilvl="6">
      <w:start w:val="0"/>
      <w:numFmt w:val="bullet"/>
      <w:lvlText w:val="•"/>
      <w:lvlJc w:val="left"/>
      <w:pPr>
        <w:ind w:left="5255" w:hanging="360"/>
      </w:pPr>
      <w:rPr/>
    </w:lvl>
    <w:lvl w:ilvl="7">
      <w:start w:val="0"/>
      <w:numFmt w:val="bullet"/>
      <w:lvlText w:val="•"/>
      <w:lvlJc w:val="left"/>
      <w:pPr>
        <w:ind w:left="5994" w:hanging="360"/>
      </w:pPr>
      <w:rPr/>
    </w:lvl>
    <w:lvl w:ilvl="8">
      <w:start w:val="0"/>
      <w:numFmt w:val="bullet"/>
      <w:lvlText w:val="•"/>
      <w:lvlJc w:val="left"/>
      <w:pPr>
        <w:ind w:left="6733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559" w:hanging="360"/>
      </w:pPr>
      <w:rPr/>
    </w:lvl>
    <w:lvl w:ilvl="2">
      <w:start w:val="0"/>
      <w:numFmt w:val="bullet"/>
      <w:lvlText w:val="•"/>
      <w:lvlJc w:val="left"/>
      <w:pPr>
        <w:ind w:left="2298" w:hanging="360"/>
      </w:pPr>
      <w:rPr/>
    </w:lvl>
    <w:lvl w:ilvl="3">
      <w:start w:val="0"/>
      <w:numFmt w:val="bullet"/>
      <w:lvlText w:val="•"/>
      <w:lvlJc w:val="left"/>
      <w:pPr>
        <w:ind w:left="3037" w:hanging="360"/>
      </w:pPr>
      <w:rPr/>
    </w:lvl>
    <w:lvl w:ilvl="4">
      <w:start w:val="0"/>
      <w:numFmt w:val="bullet"/>
      <w:lvlText w:val="•"/>
      <w:lvlJc w:val="left"/>
      <w:pPr>
        <w:ind w:left="3776" w:hanging="360"/>
      </w:pPr>
      <w:rPr/>
    </w:lvl>
    <w:lvl w:ilvl="5">
      <w:start w:val="0"/>
      <w:numFmt w:val="bullet"/>
      <w:lvlText w:val="•"/>
      <w:lvlJc w:val="left"/>
      <w:pPr>
        <w:ind w:left="4516" w:hanging="360"/>
      </w:pPr>
      <w:rPr/>
    </w:lvl>
    <w:lvl w:ilvl="6">
      <w:start w:val="0"/>
      <w:numFmt w:val="bullet"/>
      <w:lvlText w:val="•"/>
      <w:lvlJc w:val="left"/>
      <w:pPr>
        <w:ind w:left="5255" w:hanging="360"/>
      </w:pPr>
      <w:rPr/>
    </w:lvl>
    <w:lvl w:ilvl="7">
      <w:start w:val="0"/>
      <w:numFmt w:val="bullet"/>
      <w:lvlText w:val="•"/>
      <w:lvlJc w:val="left"/>
      <w:pPr>
        <w:ind w:left="5994" w:hanging="360"/>
      </w:pPr>
      <w:rPr/>
    </w:lvl>
    <w:lvl w:ilvl="8">
      <w:start w:val="0"/>
      <w:numFmt w:val="bullet"/>
      <w:lvlText w:val="•"/>
      <w:lvlJc w:val="left"/>
      <w:pPr>
        <w:ind w:left="6733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www.elibrary.ru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dilet.zan.kz/rus/docs/Z1500000416" TargetMode="External"/><Relationship Id="rId15" Type="http://schemas.openxmlformats.org/officeDocument/2006/relationships/hyperlink" Target="mailto:dina_405@mail.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6" Type="http://schemas.openxmlformats.org/officeDocument/2006/relationships/hyperlink" Target="https://teams.live.com/meet/9468524978539?p=lx5cnYWAXOQuKwRp" TargetMode="External"/><Relationship Id="rId5" Type="http://schemas.openxmlformats.org/officeDocument/2006/relationships/styles" Target="styles.xml"/><Relationship Id="rId6" Type="http://schemas.openxmlformats.org/officeDocument/2006/relationships/hyperlink" Target="mailto:ina_405@mail.ru" TargetMode="External"/><Relationship Id="rId7" Type="http://schemas.openxmlformats.org/officeDocument/2006/relationships/hyperlink" Target="mailto:ina_405@mail.ru" TargetMode="External"/><Relationship Id="rId8" Type="http://schemas.openxmlformats.org/officeDocument/2006/relationships/hyperlink" Target="https://online.zakon.kz/Document/?doc_id=100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